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79F6DA">
      <w:pPr>
        <w:keepNext/>
        <w:keepLines/>
        <w:widowControl w:val="0"/>
        <w:wordWrap w:val="0"/>
        <w:bidi w:val="0"/>
        <w:spacing w:beforeLines="0" w:beforeAutospacing="0" w:afterLines="0" w:afterAutospacing="0" w:line="600" w:lineRule="exact"/>
        <w:ind w:firstLine="0" w:firstLineChars="0"/>
        <w:jc w:val="center"/>
        <w:outlineLvl w:val="0"/>
        <w:rPr>
          <w:rFonts w:hint="eastAsia" w:ascii="Times New Roman" w:hAnsi="Times New Roman" w:eastAsia="方正小标宋简体" w:cs="Times New Roman"/>
          <w:b w:val="0"/>
          <w:bCs w:val="0"/>
          <w:color w:val="000000"/>
          <w:kern w:val="2"/>
          <w:sz w:val="44"/>
          <w:szCs w:val="44"/>
          <w:lang w:val="en-US" w:eastAsia="zh-CN" w:bidi="ar-SA"/>
        </w:rPr>
      </w:pPr>
      <w:r>
        <w:rPr>
          <w:rFonts w:hint="eastAsia" w:ascii="Times New Roman" w:hAnsi="Times New Roman" w:eastAsia="方正小标宋简体" w:cs="Times New Roman"/>
          <w:b w:val="0"/>
          <w:bCs w:val="0"/>
          <w:color w:val="000000"/>
          <w:kern w:val="2"/>
          <w:sz w:val="44"/>
          <w:szCs w:val="44"/>
          <w:lang w:val="en-US" w:eastAsia="zh-CN" w:bidi="ar-SA"/>
        </w:rPr>
        <w:t>DeepSeek从网络攻击到国际博弈的威胁分析报告</w:t>
      </w:r>
    </w:p>
    <w:p w14:paraId="7AB7FF2E">
      <w:pPr>
        <w:pStyle w:val="6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firstLine="0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中国人工智能企业深度求索（DeepSeek）凭借其大模型DeepSeekR1和DeepSeekV3的技术突破，迅速在全球AI领域崭露头角。然而，随着其快速成长，也引来了各种挑战，</w:t>
      </w:r>
      <w:r>
        <w:rPr>
          <w:rFonts w:hint="eastAsia" w:ascii="Times New Roman" w:hAnsi="Times New Roman" w:eastAsia="仿宋_GB2312" w:cs="Times New Roman"/>
          <w:b/>
          <w:bCs/>
          <w:color w:val="000000"/>
          <w:kern w:val="2"/>
          <w:sz w:val="32"/>
          <w:szCs w:val="32"/>
          <w:lang w:val="en-US" w:eastAsia="zh-CN" w:bidi="ar-SA"/>
        </w:rPr>
        <w:t>包括网络攻击、数据安全风险、经济与政治博弈以及技术主权争夺等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。这些挑战揭示了中美科技博弈已从传统领域延伸至AI模型、开源生态与算力网络等新维度。</w:t>
      </w:r>
    </w:p>
    <w:p w14:paraId="78C286E6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13" w:lineRule="auto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 xml:space="preserve"> 一、网络安全攻击与数据安全的双重威胁</w:t>
      </w:r>
    </w:p>
    <w:p w14:paraId="335EB546">
      <w:pPr>
        <w:pStyle w:val="4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13" w:lineRule="auto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1.1 国家级对手的技术手段升级</w:t>
      </w:r>
    </w:p>
    <w:p w14:paraId="69548962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自2025年1月20日起，DeepSeek遭遇了一系列大规模网络攻击事件，这些攻击不仅暴露了技术上的潜在问题，还揭示出国际竞争中涉及数据安全、供应链风险以及地缘政治博弈的复杂局面。</w:t>
      </w:r>
    </w:p>
    <w:p w14:paraId="38DEABCF">
      <w:pPr>
        <w:ind w:left="0" w:leftChars="0" w:firstLine="0" w:firstLineChars="0"/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269230" cy="2812415"/>
            <wp:effectExtent l="0" t="0" r="7620" b="698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12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D9BA00">
      <w:pPr>
        <w:ind w:left="0" w:leftChars="0" w:firstLine="0" w:firstLineChars="0"/>
        <w:jc w:val="center"/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4632325" cy="6893560"/>
            <wp:effectExtent l="0" t="0" r="15875" b="25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32325" cy="6893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6A985">
      <w:pPr>
        <w:pStyle w:val="5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1.1.1 多阶段复杂攻击</w:t>
      </w:r>
    </w:p>
    <w:p w14:paraId="747D5B77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初期以HTTP代理攻击为主，随后升级为僵尸网络驱动的DDoS攻击（如RapperBot和HailBot）。</w:t>
      </w:r>
    </w:p>
    <w:p w14:paraId="1E7E0EA5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攻击类型大致分为三类：</w:t>
      </w:r>
      <w:r>
        <w:rPr>
          <w:rFonts w:hint="eastAsia" w:ascii="Times New Roman" w:hAnsi="Times New Roman" w:eastAsia="仿宋_GB2312" w:cs="Times New Roman"/>
          <w:b/>
          <w:bCs/>
          <w:color w:val="000000"/>
          <w:kern w:val="2"/>
          <w:sz w:val="32"/>
          <w:szCs w:val="32"/>
          <w:lang w:val="en-US" w:eastAsia="zh-CN" w:bidi="ar-SA"/>
        </w:rPr>
        <w:t>反射放大攻击、HTTP代理攻击、僵尸网络爆发，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最终攻击指令暴增百倍，迫使DeepSeek多次切换服务IP。</w:t>
      </w:r>
    </w:p>
    <w:p w14:paraId="218ABE7A">
      <w:pPr>
        <w:ind w:left="0" w:leftChars="0" w:firstLine="0" w:firstLineChars="0"/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268595" cy="1087120"/>
            <wp:effectExtent l="0" t="0" r="8255" b="1778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087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1040AE">
      <w:pPr>
        <w:ind w:left="0" w:leftChars="0" w:firstLine="0" w:firstLineChars="0"/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267960" cy="3291840"/>
            <wp:effectExtent l="0" t="0" r="8890" b="381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29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CF7C4D">
      <w:pPr>
        <w:rPr>
          <w:rFonts w:hint="default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攻击类型和攻击时间大致如下：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70"/>
        <w:gridCol w:w="3919"/>
      </w:tblGrid>
      <w:tr w14:paraId="067F79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770" w:type="dxa"/>
            <w:tcBorders>
              <w:top w:val="single" w:color="4684D3" w:sz="4" w:space="0"/>
              <w:left w:val="single" w:color="4684D3" w:sz="4" w:space="0"/>
              <w:bottom w:val="single" w:color="DDDDDD" w:sz="4" w:space="0"/>
              <w:right w:val="single" w:color="DDDDDD" w:sz="4" w:space="0"/>
            </w:tcBorders>
            <w:shd w:val="clear" w:color="auto" w:fill="4684D3"/>
            <w:vAlign w:val="top"/>
          </w:tcPr>
          <w:p w14:paraId="0DF3F1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  <w:t>攻击类型</w:t>
            </w:r>
          </w:p>
        </w:tc>
        <w:tc>
          <w:tcPr>
            <w:tcW w:w="3919" w:type="dxa"/>
            <w:tcBorders>
              <w:top w:val="single" w:color="4684D3" w:sz="4" w:space="0"/>
              <w:left w:val="single" w:color="DDDDDD" w:sz="4" w:space="0"/>
              <w:bottom w:val="single" w:color="DDDDDD" w:sz="4" w:space="0"/>
              <w:right w:val="single" w:color="4684D3" w:sz="4" w:space="0"/>
            </w:tcBorders>
            <w:shd w:val="clear" w:color="auto" w:fill="4684D3"/>
            <w:vAlign w:val="top"/>
          </w:tcPr>
          <w:p w14:paraId="1851AE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  <w:t>攻击时间</w:t>
            </w:r>
          </w:p>
        </w:tc>
      </w:tr>
      <w:tr w14:paraId="502A0E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770" w:type="dxa"/>
            <w:tcBorders>
              <w:top w:val="single" w:color="DDDDDD" w:sz="4" w:space="0"/>
              <w:left w:val="single" w:color="4684D3" w:sz="4" w:space="0"/>
              <w:bottom w:val="single" w:color="DDDDDD" w:sz="4" w:space="0"/>
              <w:right w:val="single" w:color="DDDDDD" w:sz="4" w:space="0"/>
            </w:tcBorders>
            <w:shd w:val="clear" w:color="auto" w:fill="FFFFFF"/>
            <w:vAlign w:val="top"/>
          </w:tcPr>
          <w:p w14:paraId="653A64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HTTP代理攻击</w:t>
            </w:r>
          </w:p>
        </w:tc>
        <w:tc>
          <w:tcPr>
            <w:tcW w:w="3919" w:type="dxa"/>
            <w:tcBorders>
              <w:top w:val="single" w:color="DDDDDD" w:sz="4" w:space="0"/>
              <w:left w:val="single" w:color="DDDDDD" w:sz="4" w:space="0"/>
              <w:bottom w:val="single" w:color="DDDDDD" w:sz="4" w:space="0"/>
              <w:right w:val="single" w:color="4684D3" w:sz="4" w:space="0"/>
            </w:tcBorders>
            <w:shd w:val="clear" w:color="auto" w:fill="FFFFFF"/>
            <w:vAlign w:val="top"/>
          </w:tcPr>
          <w:p w14:paraId="3B96DD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1月3、4、6、7、13日</w:t>
            </w:r>
          </w:p>
        </w:tc>
      </w:tr>
      <w:tr w14:paraId="6A3E12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770" w:type="dxa"/>
            <w:tcBorders>
              <w:top w:val="single" w:color="DDDDDD" w:sz="4" w:space="0"/>
              <w:left w:val="single" w:color="4684D3" w:sz="4" w:space="0"/>
              <w:bottom w:val="single" w:color="DDDDDD" w:sz="4" w:space="0"/>
              <w:right w:val="single" w:color="DDDDDD" w:sz="4" w:space="0"/>
            </w:tcBorders>
            <w:shd w:val="clear" w:color="auto" w:fill="FFFFFF"/>
            <w:vAlign w:val="top"/>
          </w:tcPr>
          <w:p w14:paraId="446A70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SSDP和NTP反射放大攻击</w:t>
            </w:r>
          </w:p>
        </w:tc>
        <w:tc>
          <w:tcPr>
            <w:tcW w:w="3919" w:type="dxa"/>
            <w:tcBorders>
              <w:top w:val="single" w:color="DDDDDD" w:sz="4" w:space="0"/>
              <w:left w:val="single" w:color="DDDDDD" w:sz="4" w:space="0"/>
              <w:bottom w:val="single" w:color="DDDDDD" w:sz="4" w:space="0"/>
              <w:right w:val="single" w:color="4684D3" w:sz="4" w:space="0"/>
            </w:tcBorders>
            <w:shd w:val="clear" w:color="auto" w:fill="FFFFFF"/>
            <w:vAlign w:val="top"/>
          </w:tcPr>
          <w:p w14:paraId="5AB3EE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1月20日-26日</w:t>
            </w:r>
          </w:p>
        </w:tc>
      </w:tr>
      <w:tr w14:paraId="4A6E12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770" w:type="dxa"/>
            <w:tcBorders>
              <w:top w:val="single" w:color="DDDDDD" w:sz="4" w:space="0"/>
              <w:left w:val="single" w:color="4684D3" w:sz="4" w:space="0"/>
              <w:bottom w:val="single" w:color="DDDDDD" w:sz="4" w:space="0"/>
              <w:right w:val="single" w:color="DDDDDD" w:sz="4" w:space="0"/>
            </w:tcBorders>
            <w:shd w:val="clear" w:color="auto" w:fill="FFFFFF"/>
            <w:vAlign w:val="top"/>
          </w:tcPr>
          <w:p w14:paraId="07C59D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大规模DDoS攻击</w:t>
            </w:r>
          </w:p>
        </w:tc>
        <w:tc>
          <w:tcPr>
            <w:tcW w:w="3919" w:type="dxa"/>
            <w:tcBorders>
              <w:top w:val="single" w:color="DDDDDD" w:sz="4" w:space="0"/>
              <w:left w:val="single" w:color="DDDDDD" w:sz="4" w:space="0"/>
              <w:bottom w:val="single" w:color="DDDDDD" w:sz="4" w:space="0"/>
              <w:right w:val="single" w:color="4684D3" w:sz="4" w:space="0"/>
            </w:tcBorders>
            <w:shd w:val="clear" w:color="auto" w:fill="FFFFFF"/>
            <w:vAlign w:val="top"/>
          </w:tcPr>
          <w:p w14:paraId="746BE3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1月27日-28日</w:t>
            </w:r>
          </w:p>
        </w:tc>
      </w:tr>
      <w:tr w14:paraId="2C269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770" w:type="dxa"/>
            <w:tcBorders>
              <w:top w:val="single" w:color="DDDDDD" w:sz="4" w:space="0"/>
              <w:left w:val="single" w:color="4684D3" w:sz="4" w:space="0"/>
              <w:bottom w:val="single" w:color="DDDDDD" w:sz="4" w:space="0"/>
              <w:right w:val="single" w:color="DDDDDD" w:sz="4" w:space="0"/>
            </w:tcBorders>
            <w:shd w:val="clear" w:color="auto" w:fill="FFFFFF"/>
            <w:vAlign w:val="top"/>
          </w:tcPr>
          <w:p w14:paraId="0EF225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高级HTTP代理攻击</w:t>
            </w:r>
          </w:p>
        </w:tc>
        <w:tc>
          <w:tcPr>
            <w:tcW w:w="3919" w:type="dxa"/>
            <w:tcBorders>
              <w:top w:val="single" w:color="DDDDDD" w:sz="4" w:space="0"/>
              <w:left w:val="single" w:color="DDDDDD" w:sz="4" w:space="0"/>
              <w:bottom w:val="single" w:color="DDDDDD" w:sz="4" w:space="0"/>
              <w:right w:val="single" w:color="4684D3" w:sz="4" w:space="0"/>
            </w:tcBorders>
            <w:shd w:val="clear" w:color="auto" w:fill="FFFFFF"/>
            <w:vAlign w:val="top"/>
          </w:tcPr>
          <w:p w14:paraId="7DDA4B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1月28日凌晨00:58分</w:t>
            </w:r>
          </w:p>
        </w:tc>
      </w:tr>
      <w:tr w14:paraId="2C7CA8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770" w:type="dxa"/>
            <w:tcBorders>
              <w:top w:val="single" w:color="DDDDDD" w:sz="4" w:space="0"/>
              <w:left w:val="single" w:color="4684D3" w:sz="4" w:space="0"/>
              <w:bottom w:val="single" w:color="4684D3" w:sz="4" w:space="0"/>
              <w:right w:val="single" w:color="DDDDDD" w:sz="4" w:space="0"/>
            </w:tcBorders>
            <w:shd w:val="clear" w:color="auto" w:fill="FFFFFF"/>
            <w:vAlign w:val="top"/>
          </w:tcPr>
          <w:p w14:paraId="37A48E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僵尸网络攻击</w:t>
            </w:r>
          </w:p>
        </w:tc>
        <w:tc>
          <w:tcPr>
            <w:tcW w:w="3919" w:type="dxa"/>
            <w:tcBorders>
              <w:top w:val="single" w:color="DDDDDD" w:sz="4" w:space="0"/>
              <w:left w:val="single" w:color="DDDDDD" w:sz="4" w:space="0"/>
              <w:bottom w:val="single" w:color="4684D3" w:sz="4" w:space="0"/>
              <w:right w:val="single" w:color="4684D3" w:sz="4" w:space="0"/>
            </w:tcBorders>
            <w:shd w:val="clear" w:color="auto" w:fill="FFFFFF"/>
            <w:vAlign w:val="top"/>
          </w:tcPr>
          <w:p w14:paraId="44EE0A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1月30日</w:t>
            </w:r>
          </w:p>
        </w:tc>
      </w:tr>
    </w:tbl>
    <w:p w14:paraId="733F8AB0">
      <w:pPr>
        <w:pStyle w:val="5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1.1.2 政治化攻击特征</w:t>
      </w:r>
    </w:p>
    <w:p w14:paraId="6C339554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攻击IP主要来自美国，时间与北美工作时间高度重合，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疑似有国家级对手参与行动。</w:t>
      </w:r>
    </w:p>
    <w:p w14:paraId="6251395D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恶意攻击样本HailBot在运行时会向控制台输出“hail china mainland”，显然带有栽赃陷害的中国，掩盖自身来源的目的其表述方式也明显不符合中文语言逻辑。另RapperBot组织为带有一定美国文化背景色彩的黑灰产组织，表明本次攻击存在潜在政治动机。</w:t>
      </w:r>
    </w:p>
    <w:p w14:paraId="743FF6E1">
      <w:pPr>
        <w:pStyle w:val="5"/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1.1.3 分析对手</w:t>
      </w:r>
      <w:r>
        <w:rPr>
          <w:rFonts w:hint="eastAsia"/>
        </w:rPr>
        <w:t>战略意图</w:t>
      </w:r>
    </w:p>
    <w:p w14:paraId="140C727A">
      <w:pPr>
        <w:rPr>
          <w:rFonts w:hint="eastAsia" w:ascii="Times New Roman" w:hAnsi="Times New Roman" w:eastAsia="仿宋_GB2312" w:cs="Times New Roman"/>
          <w:b/>
          <w:bCs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此类攻击的目的不仅仅只是瘫痪服务，还可能通过DDoS掩盖数据窃取或技术窥探行为，以削弱中国在AI领域的竞争优势。DeepSeek的攻击背后可能隐藏着更大的战略意图：通过对AI企业的精准打击，遏制中国在全球AI产业链中的竞争力。这种“精准打击”不仅体现在技术手段上，</w:t>
      </w:r>
      <w:r>
        <w:rPr>
          <w:rFonts w:hint="eastAsia" w:ascii="Times New Roman" w:hAnsi="Times New Roman" w:eastAsia="仿宋_GB2312" w:cs="Times New Roman"/>
          <w:b/>
          <w:bCs/>
          <w:color w:val="000000"/>
          <w:kern w:val="2"/>
          <w:sz w:val="32"/>
          <w:szCs w:val="32"/>
          <w:lang w:val="en-US" w:eastAsia="zh-CN" w:bidi="ar-SA"/>
        </w:rPr>
        <w:t>更反映了国际竞争中“软硬兼施”的复杂博弈。</w:t>
      </w:r>
    </w:p>
    <w:p w14:paraId="524C8334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/>
          <w:bCs/>
          <w:color w:val="000000"/>
          <w:kern w:val="2"/>
          <w:sz w:val="32"/>
          <w:szCs w:val="32"/>
          <w:lang w:val="en-US" w:eastAsia="zh-CN" w:bidi="ar-SA"/>
        </w:rPr>
        <w:t>类似事件亦见于《黑神话：悟空》全球上线时遭遇的海外攻击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，由此可见中国科技企业正成为国际博弈的中心。</w:t>
      </w:r>
    </w:p>
    <w:p w14:paraId="4C7DB498">
      <w:pPr>
        <w:pStyle w:val="4"/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1. 2 数据安全与供应链风险</w:t>
      </w:r>
    </w:p>
    <w:p w14:paraId="659F9D1B">
      <w:pPr>
        <w:pStyle w:val="5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1.2.1数据泄露风险与模型投毒威胁</w:t>
      </w:r>
    </w:p>
    <w:p w14:paraId="6D7386E0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DeepSeek存储的海量用户数据（如搜索查询记录、个人信息）面临暴力破解和侧信道泄露风险，大模型训练过程中多租户数据交织存储的特性，也可能引发微调参数残留导致的隐私泄露。</w:t>
      </w:r>
    </w:p>
    <w:p w14:paraId="78709779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攻击者可利用数据投毒（Data Poisoning）污染训练集，或通过对抗攻击（Adversarial Attacks）操控模型输出，导致服务不可用或生成有害内容。</w:t>
      </w:r>
    </w:p>
    <w:p w14:paraId="3FF3724E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 xml:space="preserve">Wiz Research 发现了DeepSeek的一个可公开访问的ClickHouse数据库，该数据库允许完全控制数据库操作，包括访问内部数据的能力。此次曝光包括超过一百万行日志流，其中包含聊天记录、密钥、后端详细信息和其他高度敏感的信息。Wiz Research 团队立即向 DeepSeek 披露了此问题。此次暴露导致 DeepSeek 环境内出现完全数据库控制和潜在权限提升的问题，而对外界没有任何身份验证或防御机制。 </w:t>
      </w:r>
    </w:p>
    <w:p w14:paraId="2B0F8589">
      <w:p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8595" cy="2358390"/>
            <wp:effectExtent l="0" t="0" r="8255" b="381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58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4EBCDE">
      <w:p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73675" cy="2364740"/>
            <wp:effectExtent l="0" t="0" r="3175" b="1651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364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9C1952">
      <w:pPr>
        <w:pStyle w:val="5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1.2.2供应链薄弱</w:t>
      </w:r>
    </w:p>
    <w:p w14:paraId="51B470BA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现代AI企业依赖复杂的供应链生态，攻击者可能通过供应商系统植入恶意软件。例如在本次对Deepseek的攻击中Mirai僵尸网络通过感染物联网设备构建攻击节点，暴露了硬件供应链漏洞。</w:t>
      </w:r>
    </w:p>
    <w:p w14:paraId="6F385FFE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Deepseek开源框架广泛使用降低了开发门槛，但也引入新的攻击面，如控制组合AI的“能力原语”攻击。</w:t>
      </w:r>
    </w:p>
    <w:p w14:paraId="0B6CB545">
      <w:pPr>
        <w:pStyle w:val="3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二、经济与政治博弈：AI竞争的新战场</w:t>
      </w:r>
    </w:p>
    <w:p w14:paraId="7692D3FA">
      <w:pPr>
        <w:pStyle w:val="4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2.1 经济制裁与市场围堵</w:t>
      </w:r>
    </w:p>
    <w:p w14:paraId="5322E9ED">
      <w:pPr>
        <w:pStyle w:val="5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2.1.1 隐性制裁手段</w:t>
      </w:r>
    </w:p>
    <w:p w14:paraId="3CC022F9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网络攻击导致服务中断直接影响企业营收。例如，DeepSeek攻击高峰期API调用熔断，用户流失率激增，间接影响商业合作与融资估值。</w:t>
      </w:r>
    </w:p>
    <w:p w14:paraId="0C7DEE81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类似于此前</w:t>
      </w:r>
      <w:r>
        <w:rPr>
          <w:rFonts w:hint="eastAsia" w:ascii="Times New Roman" w:hAnsi="Times New Roman" w:eastAsia="仿宋_GB2312" w:cs="Times New Roman"/>
          <w:b/>
          <w:bCs/>
          <w:color w:val="000000"/>
          <w:kern w:val="2"/>
          <w:sz w:val="32"/>
          <w:szCs w:val="32"/>
          <w:lang w:val="en-US" w:eastAsia="zh-CN" w:bidi="ar-SA"/>
        </w:rPr>
        <w:t>美国对华为、TikTok的制裁逻辑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，通过技术封锁或舆论打压遏制中国科技企业国际化进程。</w:t>
      </w:r>
      <w:r>
        <w:rPr>
          <w:rFonts w:hint="eastAsia" w:ascii="Times New Roman" w:hAnsi="Times New Roman" w:eastAsia="仿宋_GB2312" w:cs="Times New Roman"/>
          <w:b/>
          <w:bCs/>
          <w:color w:val="000000"/>
          <w:kern w:val="2"/>
          <w:sz w:val="32"/>
          <w:szCs w:val="32"/>
          <w:lang w:val="en-US" w:eastAsia="zh-CN" w:bidi="ar-SA"/>
        </w:rPr>
        <w:t>DeepSeek的遭遇可能预示AI领域将成为下一轮经济战焦点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。</w:t>
      </w:r>
    </w:p>
    <w:p w14:paraId="2216F43A">
      <w:pPr>
        <w:pStyle w:val="5"/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 xml:space="preserve">2.1.2 </w:t>
      </w:r>
      <w:r>
        <w:rPr>
          <w:rFonts w:hint="eastAsia"/>
        </w:rPr>
        <w:t>国际规则与话语权争夺</w:t>
      </w:r>
    </w:p>
    <w:p w14:paraId="25CAA893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攻击事件暴露现有国际网络安全治理体系的失效，单纯依赖技术防御已不足应对国家级对手，需推动跨境攻击溯源与联合反制机制。</w:t>
      </w:r>
    </w:p>
    <w:p w14:paraId="706E5B9D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中国超算互联网平台对DeepSeek的算力支持，以及海光DCU的国产化适配，体现了技术自主可控的战略意义。</w:t>
      </w:r>
    </w:p>
    <w:p w14:paraId="7E6526FB">
      <w:pPr>
        <w:pStyle w:val="4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2.2 技术主权争夺</w:t>
      </w:r>
    </w:p>
    <w:p w14:paraId="678D9B30">
      <w:pPr>
        <w:pStyle w:val="5"/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2</w:t>
      </w:r>
      <w:r>
        <w:rPr>
          <w:rFonts w:hint="eastAsia"/>
          <w:lang w:val="en-US" w:eastAsia="zh-CN"/>
        </w:rPr>
        <w:t xml:space="preserve">.1 </w:t>
      </w:r>
      <w:r>
        <w:rPr>
          <w:rFonts w:hint="eastAsia"/>
        </w:rPr>
        <w:t>算力霸权</w:t>
      </w:r>
      <w:r>
        <w:rPr>
          <w:rFonts w:hint="eastAsia"/>
          <w:lang w:val="en-US" w:eastAsia="zh-CN"/>
        </w:rPr>
        <w:t>受到</w:t>
      </w:r>
      <w:r>
        <w:rPr>
          <w:rFonts w:hint="eastAsia"/>
        </w:rPr>
        <w:t>降维打击</w:t>
      </w:r>
    </w:p>
    <w:p w14:paraId="6F5FE262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Deepseek受到大范围攻击次日（1月27日），英伟达股价暴跌17%，市值蒸发超3000亿美元，创2020年以来最大单日跌幅，暴露美国AI产业链对硬件垄断的深度依赖。</w:t>
      </w:r>
    </w:p>
    <w:p w14:paraId="6977C80A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DeepSeek低成本模型（如DeepSeekV3单次训练成本仅558万美元）直接威胁其商业根基。</w:t>
      </w:r>
    </w:p>
    <w:p w14:paraId="0029F213">
      <w:pPr>
        <w:ind w:left="0" w:leftChars="0" w:firstLine="0" w:firstLineChars="0"/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271135" cy="866140"/>
            <wp:effectExtent l="0" t="0" r="5715" b="10160"/>
            <wp:docPr id="2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866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AA9D60">
      <w:pPr>
        <w:pStyle w:val="5"/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2</w:t>
      </w:r>
      <w:r>
        <w:rPr>
          <w:rFonts w:hint="eastAsia"/>
          <w:lang w:val="en-US" w:eastAsia="zh-CN"/>
        </w:rPr>
        <w:t xml:space="preserve">.2 </w:t>
      </w:r>
      <w:r>
        <w:rPr>
          <w:rFonts w:hint="eastAsia"/>
        </w:rPr>
        <w:t>开源生态的双刃剑效应</w:t>
      </w:r>
    </w:p>
    <w:p w14:paraId="48EF095E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DeepSeek的开源战略虽打破技术垄断，却使其成为“技术民主化”与“数字殖民”双重叙事的焦点。Meta首席科学家扬·勒昆（Yann LeCun）称其为“开源对闭源的胜利”，但美国国会随即呼吁限制其技术出口，凸显战略矛盾。</w:t>
      </w:r>
    </w:p>
    <w:tbl>
      <w:tblPr>
        <w:tblStyle w:val="7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1E1E20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693"/>
        <w:gridCol w:w="3285"/>
        <w:gridCol w:w="3718"/>
      </w:tblGrid>
      <w:tr w14:paraId="7D696A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1E1E20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Header/>
        </w:trPr>
        <w:tc>
          <w:tcPr>
            <w:tcW w:w="1693" w:type="dxa"/>
            <w:tcBorders>
              <w:top w:val="single" w:color="4684D3" w:sz="0" w:space="0"/>
              <w:left w:val="single" w:color="4684D3" w:sz="0" w:space="0"/>
              <w:bottom w:val="single" w:color="DDDDDD" w:sz="0" w:space="0"/>
              <w:right w:val="single" w:color="DDDDDD" w:sz="0" w:space="0"/>
            </w:tcBorders>
            <w:shd w:val="clear" w:color="auto" w:fill="4684D3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35E638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  <w:t>开源策略利弊对比</w:t>
            </w:r>
          </w:p>
        </w:tc>
        <w:tc>
          <w:tcPr>
            <w:tcW w:w="3285" w:type="dxa"/>
            <w:tcBorders>
              <w:top w:val="single" w:color="4684D3" w:sz="0" w:space="0"/>
              <w:left w:val="single" w:color="DDDDDD" w:sz="0" w:space="0"/>
              <w:bottom w:val="single" w:color="DDDDDD" w:sz="0" w:space="0"/>
              <w:right w:val="single" w:color="DDDDDD" w:sz="0" w:space="0"/>
            </w:tcBorders>
            <w:shd w:val="clear" w:color="auto" w:fill="4684D3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05EF77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  <w:t>收益</w:t>
            </w:r>
          </w:p>
        </w:tc>
        <w:tc>
          <w:tcPr>
            <w:tcW w:w="3718" w:type="dxa"/>
            <w:tcBorders>
              <w:top w:val="single" w:color="4684D3" w:sz="0" w:space="0"/>
              <w:left w:val="single" w:color="DDDDDD" w:sz="0" w:space="0"/>
              <w:bottom w:val="single" w:color="DDDDDD" w:sz="0" w:space="0"/>
              <w:right w:val="single" w:color="4684D3" w:sz="0" w:space="0"/>
            </w:tcBorders>
            <w:shd w:val="clear" w:color="auto" w:fill="4684D3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33A624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  <w:t>风险</w:t>
            </w:r>
          </w:p>
        </w:tc>
      </w:tr>
      <w:tr w14:paraId="65B605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93" w:type="dxa"/>
            <w:tcBorders>
              <w:top w:val="single" w:color="DDDDDD" w:sz="4" w:space="0"/>
              <w:left w:val="single" w:color="4684D3" w:sz="0" w:space="0"/>
              <w:bottom w:val="single" w:color="DDDDDD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3C83DF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技术扩散</w:t>
            </w:r>
          </w:p>
        </w:tc>
        <w:tc>
          <w:tcPr>
            <w:tcW w:w="3285" w:type="dxa"/>
            <w:tcBorders>
              <w:top w:val="single" w:color="DDDDDD" w:sz="4" w:space="0"/>
              <w:left w:val="single" w:color="DDDDDD" w:sz="0" w:space="0"/>
              <w:bottom w:val="single" w:color="DDDDDD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74C845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全球开发者贡献代码加速迭代（如550个衍生模型、250万次下载）</w:t>
            </w:r>
          </w:p>
        </w:tc>
        <w:tc>
          <w:tcPr>
            <w:tcW w:w="3718" w:type="dxa"/>
            <w:tcBorders>
              <w:top w:val="single" w:color="DDDDDD" w:sz="4" w:space="0"/>
              <w:left w:val="single" w:color="DDDDDD" w:sz="0" w:space="0"/>
              <w:bottom w:val="single" w:color="DDDDDD" w:sz="0" w:space="0"/>
              <w:right w:val="single" w:color="4684D3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1BF522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模型架构暴露，易被反向工程（如加州大学复现Sky-T1仅耗450美元）</w:t>
            </w:r>
          </w:p>
        </w:tc>
      </w:tr>
      <w:tr w14:paraId="2F5255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93" w:type="dxa"/>
            <w:tcBorders>
              <w:top w:val="single" w:color="DDDDDD" w:sz="4" w:space="0"/>
              <w:left w:val="single" w:color="4684D3" w:sz="0" w:space="0"/>
              <w:bottom w:val="single" w:color="DDDDDD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6723AD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生态影响力</w:t>
            </w:r>
          </w:p>
        </w:tc>
        <w:tc>
          <w:tcPr>
            <w:tcW w:w="3285" w:type="dxa"/>
            <w:tcBorders>
              <w:top w:val="single" w:color="DDDDDD" w:sz="4" w:space="0"/>
              <w:left w:val="single" w:color="DDDDDD" w:sz="0" w:space="0"/>
              <w:bottom w:val="single" w:color="DDDDDD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269AD6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吸引Meta、Hugging Face等巨头合作，挑战OpenAI闭源霸权</w:t>
            </w:r>
          </w:p>
        </w:tc>
        <w:tc>
          <w:tcPr>
            <w:tcW w:w="3718" w:type="dxa"/>
            <w:tcBorders>
              <w:top w:val="single" w:color="DDDDDD" w:sz="4" w:space="0"/>
              <w:left w:val="single" w:color="DDDDDD" w:sz="0" w:space="0"/>
              <w:bottom w:val="single" w:color="DDDDDD" w:sz="0" w:space="0"/>
              <w:right w:val="single" w:color="4684D3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5D9D65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开源社区成攻击入口（如HailBot僵尸网络利用开源协议漏洞构建攻击节点）</w:t>
            </w:r>
          </w:p>
        </w:tc>
      </w:tr>
      <w:tr w14:paraId="38D7BC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93" w:type="dxa"/>
            <w:tcBorders>
              <w:top w:val="single" w:color="DDDDDD" w:sz="4" w:space="0"/>
              <w:left w:val="single" w:color="4684D3" w:sz="0" w:space="0"/>
              <w:bottom w:val="single" w:color="4684D3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6EBA03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政治合法性</w:t>
            </w:r>
          </w:p>
        </w:tc>
        <w:tc>
          <w:tcPr>
            <w:tcW w:w="3285" w:type="dxa"/>
            <w:tcBorders>
              <w:top w:val="single" w:color="DDDDDD" w:sz="4" w:space="0"/>
              <w:left w:val="single" w:color="DDDDDD" w:sz="0" w:space="0"/>
              <w:bottom w:val="single" w:color="4684D3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36F099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通过技术透明性规避“黑箱AI”指控</w:t>
            </w:r>
          </w:p>
        </w:tc>
        <w:tc>
          <w:tcPr>
            <w:tcW w:w="3718" w:type="dxa"/>
            <w:tcBorders>
              <w:top w:val="single" w:color="DDDDDD" w:sz="4" w:space="0"/>
              <w:left w:val="single" w:color="DDDDDD" w:sz="0" w:space="0"/>
              <w:bottom w:val="single" w:color="4684D3" w:sz="0" w:space="0"/>
              <w:right w:val="single" w:color="4684D3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76A0CC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开源代码被政治化解读（如美海军以“道德风险”禁用DeepSeek）</w:t>
            </w:r>
          </w:p>
        </w:tc>
      </w:tr>
    </w:tbl>
    <w:p w14:paraId="10775AEA">
      <w:pPr>
        <w:rPr>
          <w:rFonts w:hint="eastAsia"/>
        </w:rPr>
      </w:pPr>
    </w:p>
    <w:p w14:paraId="46115805">
      <w:pPr>
        <w:pStyle w:val="4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2.3 地缘政治：联盟构建与数字北约雏形</w:t>
      </w:r>
    </w:p>
    <w:p w14:paraId="5C452533">
      <w:pPr>
        <w:pStyle w:val="5"/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3</w:t>
      </w:r>
      <w:r>
        <w:rPr>
          <w:rFonts w:hint="eastAsia"/>
          <w:lang w:val="en-US" w:eastAsia="zh-CN"/>
        </w:rPr>
        <w:t>.1</w:t>
      </w:r>
      <w:r>
        <w:rPr>
          <w:rFonts w:hint="eastAsia"/>
        </w:rPr>
        <w:t>美国对华AI遏制政策</w:t>
      </w:r>
    </w:p>
    <w:tbl>
      <w:tblPr>
        <w:tblStyle w:val="7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1E1E20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693"/>
        <w:gridCol w:w="3279"/>
        <w:gridCol w:w="3724"/>
      </w:tblGrid>
      <w:tr w14:paraId="656ED5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1E1E20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Header/>
        </w:trPr>
        <w:tc>
          <w:tcPr>
            <w:tcW w:w="1693" w:type="dxa"/>
            <w:tcBorders>
              <w:top w:val="single" w:color="4684D3" w:sz="0" w:space="0"/>
              <w:left w:val="single" w:color="4684D3" w:sz="0" w:space="0"/>
              <w:bottom w:val="single" w:color="DDDDDD" w:sz="0" w:space="0"/>
              <w:right w:val="single" w:color="DDDDDD" w:sz="0" w:space="0"/>
            </w:tcBorders>
            <w:shd w:val="clear" w:color="auto" w:fill="4684D3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619716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  <w:t>政策工具</w:t>
            </w:r>
          </w:p>
        </w:tc>
        <w:tc>
          <w:tcPr>
            <w:tcW w:w="3279" w:type="dxa"/>
            <w:tcBorders>
              <w:top w:val="single" w:color="4684D3" w:sz="0" w:space="0"/>
              <w:left w:val="single" w:color="DDDDDD" w:sz="0" w:space="0"/>
              <w:bottom w:val="single" w:color="DDDDDD" w:sz="0" w:space="0"/>
              <w:right w:val="single" w:color="DDDDDD" w:sz="0" w:space="0"/>
            </w:tcBorders>
            <w:shd w:val="clear" w:color="auto" w:fill="4684D3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0C4FAB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  <w:t>典型案例</w:t>
            </w:r>
          </w:p>
        </w:tc>
        <w:tc>
          <w:tcPr>
            <w:tcW w:w="0" w:type="auto"/>
            <w:tcBorders>
              <w:top w:val="single" w:color="4684D3" w:sz="0" w:space="0"/>
              <w:left w:val="single" w:color="DDDDDD" w:sz="0" w:space="0"/>
              <w:bottom w:val="single" w:color="DDDDDD" w:sz="0" w:space="0"/>
              <w:right w:val="single" w:color="4684D3" w:sz="0" w:space="0"/>
            </w:tcBorders>
            <w:shd w:val="clear" w:color="auto" w:fill="4684D3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6F3232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  <w:t>中国反制</w:t>
            </w:r>
          </w:p>
        </w:tc>
      </w:tr>
      <w:tr w14:paraId="7E6DC4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93" w:type="dxa"/>
            <w:tcBorders>
              <w:top w:val="single" w:color="DDDDDD" w:sz="4" w:space="0"/>
              <w:left w:val="single" w:color="4684D3" w:sz="0" w:space="0"/>
              <w:bottom w:val="single" w:color="DDDDDD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44E3F3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技术封锁</w:t>
            </w:r>
          </w:p>
        </w:tc>
        <w:tc>
          <w:tcPr>
            <w:tcW w:w="3279" w:type="dxa"/>
            <w:tcBorders>
              <w:top w:val="single" w:color="DDDDDD" w:sz="4" w:space="0"/>
              <w:left w:val="single" w:color="DDDDDD" w:sz="0" w:space="0"/>
              <w:bottom w:val="single" w:color="DDDDDD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0BB498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限制英伟达A100对华出口</w:t>
            </w:r>
          </w:p>
        </w:tc>
        <w:tc>
          <w:tcPr>
            <w:tcW w:w="0" w:type="auto"/>
            <w:tcBorders>
              <w:top w:val="single" w:color="DDDDDD" w:sz="4" w:space="0"/>
              <w:left w:val="single" w:color="DDDDDD" w:sz="0" w:space="0"/>
              <w:bottom w:val="single" w:color="DDDDDD" w:sz="0" w:space="0"/>
              <w:right w:val="single" w:color="4684D3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667348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加速海光DCU、华为昇腾国产化替代</w:t>
            </w:r>
          </w:p>
        </w:tc>
      </w:tr>
      <w:tr w14:paraId="778267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93" w:type="dxa"/>
            <w:tcBorders>
              <w:top w:val="single" w:color="DDDDDD" w:sz="4" w:space="0"/>
              <w:left w:val="single" w:color="4684D3" w:sz="0" w:space="0"/>
              <w:bottom w:val="single" w:color="DDDDDD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0F3855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市场准入</w:t>
            </w:r>
          </w:p>
        </w:tc>
        <w:tc>
          <w:tcPr>
            <w:tcW w:w="3279" w:type="dxa"/>
            <w:tcBorders>
              <w:top w:val="single" w:color="DDDDDD" w:sz="4" w:space="0"/>
              <w:left w:val="single" w:color="DDDDDD" w:sz="0" w:space="0"/>
              <w:bottom w:val="single" w:color="DDDDDD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485827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美海军禁止使用DeepSeek</w:t>
            </w:r>
          </w:p>
        </w:tc>
        <w:tc>
          <w:tcPr>
            <w:tcW w:w="0" w:type="auto"/>
            <w:tcBorders>
              <w:top w:val="single" w:color="DDDDDD" w:sz="4" w:space="0"/>
              <w:left w:val="single" w:color="DDDDDD" w:sz="0" w:space="0"/>
              <w:bottom w:val="single" w:color="DDDDDD" w:sz="0" w:space="0"/>
              <w:right w:val="single" w:color="4684D3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637408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推动《生成式AI服务管理暂行办法》限制境外模型</w:t>
            </w:r>
          </w:p>
        </w:tc>
      </w:tr>
      <w:tr w14:paraId="2C1CEC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93" w:type="dxa"/>
            <w:tcBorders>
              <w:top w:val="single" w:color="DDDDDD" w:sz="4" w:space="0"/>
              <w:left w:val="single" w:color="4684D3" w:sz="0" w:space="0"/>
              <w:bottom w:val="single" w:color="4684D3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58F231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联盟构建</w:t>
            </w:r>
          </w:p>
        </w:tc>
        <w:tc>
          <w:tcPr>
            <w:tcW w:w="3279" w:type="dxa"/>
            <w:tcBorders>
              <w:top w:val="single" w:color="DDDDDD" w:sz="4" w:space="0"/>
              <w:left w:val="single" w:color="DDDDDD" w:sz="0" w:space="0"/>
              <w:bottom w:val="single" w:color="4684D3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10F58D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“星门计划”联合OpenAI、微软建千亿美元数据中心</w:t>
            </w:r>
          </w:p>
        </w:tc>
        <w:tc>
          <w:tcPr>
            <w:tcW w:w="0" w:type="auto"/>
            <w:tcBorders>
              <w:top w:val="single" w:color="DDDDDD" w:sz="4" w:space="0"/>
              <w:left w:val="single" w:color="DDDDDD" w:sz="0" w:space="0"/>
              <w:bottom w:val="single" w:color="4684D3" w:sz="0" w:space="0"/>
              <w:right w:val="single" w:color="4684D3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257E95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组建“AI安全产业联盟”整合国内安全企业</w:t>
            </w:r>
          </w:p>
        </w:tc>
      </w:tr>
    </w:tbl>
    <w:p w14:paraId="22B89E24">
      <w:pPr>
        <w:pStyle w:val="5"/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3</w:t>
      </w:r>
      <w:r>
        <w:rPr>
          <w:rFonts w:hint="eastAsia"/>
          <w:lang w:val="en-US" w:eastAsia="zh-CN"/>
        </w:rPr>
        <w:t>.2</w:t>
      </w:r>
      <w:r>
        <w:rPr>
          <w:rFonts w:hint="eastAsia"/>
        </w:rPr>
        <w:t>数字北约雏形显现</w:t>
      </w:r>
    </w:p>
    <w:p w14:paraId="48C2AA32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特朗普在白宫接待了OpenAI首席执行官山姆·奥特曼(Sam Altman)及其他科技领袖，并宣布了一项名为“星门”(Stargate)的私人投资协议，计划在美国建设AI数据中心，总投资达1000亿美元。</w:t>
      </w:r>
    </w:p>
    <w:p w14:paraId="7BC4D78E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美国“星门计划”与欧盟《AI法案》形成技术-立法协同，试图以“价值观联盟”排挤中国AI企业。DeepSeek事件中，60%攻击流量经欧盟节点中转，可能存在跨大西洋协作。</w:t>
      </w:r>
    </w:p>
    <w:p w14:paraId="43A30D82">
      <w:pPr>
        <w:pStyle w:val="3"/>
        <w:bidi w:val="0"/>
        <w:rPr>
          <w:rFonts w:hint="eastAsia"/>
        </w:rPr>
      </w:pPr>
      <w:r>
        <w:rPr>
          <w:rFonts w:hint="eastAsia"/>
        </w:rPr>
        <w:t>三、资本市场与算力定价权的博弈</w:t>
      </w:r>
    </w:p>
    <w:p w14:paraId="3D2E234C">
      <w:pPr>
        <w:pStyle w:val="4"/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3.1</w:t>
      </w:r>
      <w:r>
        <w:rPr>
          <w:rFonts w:hint="eastAsia"/>
        </w:rPr>
        <w:t xml:space="preserve"> 股价波动背后的资本角力</w:t>
      </w:r>
    </w:p>
    <w:p w14:paraId="5CD51C00">
      <w:pPr>
        <w:pStyle w:val="5"/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 xml:space="preserve">3.1.1 </w:t>
      </w:r>
      <w:r>
        <w:rPr>
          <w:rFonts w:hint="eastAsia"/>
        </w:rPr>
        <w:t>做空与反制</w:t>
      </w:r>
    </w:p>
    <w:p w14:paraId="297F6F14">
      <w:pPr>
        <w:rPr>
          <w:rFonts w:hint="eastAsia" w:eastAsiaTheme="minorEastAsia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DeepSeek遭攻击期间，做空英伟达的期权合约激增320%，散户抄底规模达5.62亿美元，形成多空对决。高盛报告指出，此类波动反映市场对“中美AI脱钩”的恐慌预</w:t>
      </w:r>
      <w:r>
        <w:rPr>
          <w:rFonts w:hint="eastAsia"/>
        </w:rPr>
        <w:t>期。</w:t>
      </w:r>
    </w:p>
    <w:p w14:paraId="25A1F543">
      <w:pPr>
        <w:pStyle w:val="5"/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 xml:space="preserve">3.1.2 </w:t>
      </w:r>
      <w:r>
        <w:rPr>
          <w:rFonts w:hint="eastAsia"/>
        </w:rPr>
        <w:t>算力定价权争夺</w:t>
      </w:r>
    </w:p>
    <w:p w14:paraId="66F95DBE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DeepSeek模型单位算力成本仅为OpenAI的1/8，直接冲击英伟达GPU溢价空间。若其技术路线普及，全球AI算力市场估值或需重估30%-50%。</w:t>
      </w:r>
    </w:p>
    <w:p w14:paraId="525AFCF0">
      <w:pPr>
        <w:pStyle w:val="4"/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</w:rPr>
        <w:t>2 供应链金融的脆弱性</w:t>
      </w:r>
    </w:p>
    <w:p w14:paraId="0D02DA05">
      <w:pPr>
        <w:pStyle w:val="5"/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</w:rPr>
        <w:t>2</w:t>
      </w:r>
      <w:r>
        <w:rPr>
          <w:rFonts w:hint="eastAsia"/>
          <w:lang w:val="en-US" w:eastAsia="zh-CN"/>
        </w:rPr>
        <w:t>.1</w:t>
      </w:r>
      <w:r>
        <w:rPr>
          <w:rFonts w:hint="eastAsia"/>
        </w:rPr>
        <w:t xml:space="preserve"> 电力资本连锁崩溃</w:t>
      </w:r>
    </w:p>
    <w:p w14:paraId="42A93222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因担忧AI算力需求下降，美国联合能源公司股价暴跌21%，Vistra跌29%。暴露美国AI基础设施（电力、芯片、云服务）的高度耦合性。</w:t>
      </w:r>
    </w:p>
    <w:p w14:paraId="5EF0871D">
      <w:pPr>
        <w:pStyle w:val="5"/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</w:rPr>
        <w:t>2</w:t>
      </w:r>
      <w:r>
        <w:rPr>
          <w:rFonts w:hint="eastAsia"/>
          <w:lang w:val="en-US" w:eastAsia="zh-CN"/>
        </w:rPr>
        <w:t>.2</w:t>
      </w:r>
      <w:r>
        <w:rPr>
          <w:rFonts w:hint="eastAsia"/>
        </w:rPr>
        <w:t>中国反制潜力</w:t>
      </w:r>
    </w:p>
    <w:p w14:paraId="28E798D3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中国超算互联网提供国产海光DCU算力支持，若全面替代英伟达芯片，可减少年进口支出超200亿美元。</w:t>
      </w:r>
    </w:p>
    <w:p w14:paraId="68314998">
      <w:pPr>
        <w:pStyle w:val="3"/>
        <w:bidi w:val="0"/>
        <w:rPr>
          <w:rFonts w:hint="eastAsia"/>
        </w:rPr>
      </w:pPr>
      <w:r>
        <w:rPr>
          <w:rFonts w:hint="eastAsia"/>
        </w:rPr>
        <w:t>四、生态重构：AI安全的下一代防御体系</w:t>
      </w:r>
    </w:p>
    <w:p w14:paraId="5C3E34AC">
      <w:pPr>
        <w:pStyle w:val="4"/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4.1</w:t>
      </w:r>
      <w:r>
        <w:rPr>
          <w:rFonts w:hint="eastAsia"/>
        </w:rPr>
        <w:t xml:space="preserve"> 技术防御的范式升级</w:t>
      </w:r>
    </w:p>
    <w:p w14:paraId="3FB8AC6E">
      <w:pPr>
        <w:pStyle w:val="5"/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 xml:space="preserve">4.1.1 </w:t>
      </w:r>
      <w:r>
        <w:rPr>
          <w:rFonts w:hint="eastAsia"/>
        </w:rPr>
        <w:t>DeepSeek-R1驱动的安全大模型革新</w:t>
      </w:r>
    </w:p>
    <w:p w14:paraId="57B0A6DF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基于大模型的AI安全防御体系，已从传统规则匹配转向深度学习驱动的动态对抗。</w:t>
      </w:r>
    </w:p>
    <w:p w14:paraId="03465E83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例如，国内厂商提出的安全大模型（如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fldChar w:fldCharType="begin"/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instrText xml:space="preserve"> HYPERLINK "https://finance.sina.com.cn/realstock/company/sz300454/nc.shtml" \t "https://finance.sina.com.cn/jjxw/2024-05-29/_blank" </w:instrTex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fldChar w:fldCharType="separate"/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深信服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fldChar w:fldCharType="end"/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等国内安全厂商推出例如安全GPT2.0等安全大模型产品）通过多模态威胁分析（代码、流量、行为序列），可将攻击流量识别准确率提升至99.9%，误报率低于0.1%。这一突破得益于大模型对新型攻击（如AI生成的深度伪造、自动化漏洞利用）的语义理解能力，其响应速度较传统方案提升20倍，尤其针对0day攻击的检测时效从小时级压缩至分钟级。</w:t>
      </w:r>
    </w:p>
    <w:p w14:paraId="06E6C13E">
      <w:pPr>
        <w:rPr>
          <w:rFonts w:hint="eastAsia"/>
          <w:b/>
          <w:bCs/>
          <w:lang w:eastAsia="zh-CN"/>
        </w:rPr>
      </w:pPr>
      <w:r>
        <w:rPr>
          <w:rFonts w:hint="eastAsia"/>
          <w:b/>
          <w:bCs/>
          <w:lang w:eastAsia="zh-CN"/>
        </w:rPr>
        <w:t>DeepSeek-R1的创新融合</w:t>
      </w:r>
    </w:p>
    <w:p w14:paraId="648F4CAA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DeepSeek-R1在安全大模型中引入了对抗样本训练和跨模态推理能力：</w:t>
      </w:r>
    </w:p>
    <w:p w14:paraId="1B131463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1、对抗训练优化：DeepSeek-R1的强化学习框架支持对抗样本生成与防御的双向优化。例如，在模拟攻击中，模型通过生成“海绵样本”（Sponge Examples）测试流量特征鲁棒性，并结合动态威胁情报调整检测阈值；</w:t>
      </w:r>
    </w:p>
    <w:p w14:paraId="7BAE2660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2、自适应学习机制：结合实时威胁情报，动态调整检测阈值，例如针对APT攻击的隐蔽横向移动行为，可实现上下文感知的威胁阻断。</w:t>
      </w:r>
    </w:p>
    <w:p w14:paraId="7E12DCA1">
      <w:pPr>
        <w:pStyle w:val="5"/>
        <w:bidi w:val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 xml:space="preserve">4.1.2 </w:t>
      </w:r>
      <w:r>
        <w:rPr>
          <w:rFonts w:hint="eastAsia"/>
        </w:rPr>
        <w:t>零信任架构</w:t>
      </w:r>
    </w:p>
    <w:p w14:paraId="3A8D0AC8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零信任架构通过动态令牌验证和模块化沙箱隔离重构了安全边界。例如，某云服务商采用动态令牌（基于用户行为、设备指纹、环境风险的实时计算）替代静态密码，将XSS漏洞修复时间从72小时压缩至4小时，核心在于：</w:t>
      </w:r>
    </w:p>
    <w:p w14:paraId="76CDA0DA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沙盒智能隔离：利用轻量级容器技术，对可疑代码进行行为沙箱分析，分析出可疑代码的潜在利用路径（如APT横向移动），联动R1生成修复方案，实现“检测-隔离-修复”全自动化；</w:t>
      </w:r>
    </w:p>
    <w:p w14:paraId="128E8D1F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最小权限动态调整：基于DeepSeek-R1的实时行为分析模块，自动收缩高危账户权限，阻断横向渗透（如勒索软件加密行为）</w:t>
      </w:r>
    </w:p>
    <w:p w14:paraId="1AE4C32B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在零信任场景中，利用DeepSeek-R1经验通过以下方式优化安全闭环：</w:t>
      </w:r>
    </w:p>
    <w:p w14:paraId="0F7A40AF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1、上下文感知的动态授权：整合用户操作序列、设备指纹、网络微隔离状态，生成动态令牌权重，例如在检测到异常地理位置登录时，自动触发二次生物认证；</w:t>
      </w:r>
    </w:p>
    <w:p w14:paraId="63CF7796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2、沙箱-威胁情报联动：将沙盒内捕获的未知攻击特征（如新型XSS载荷）实时反馈至大模型训练集，形成“防御-攻击-进化”的正向循环。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br w:type="textWrapping"/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案例参考：美军“雷霆穹顶”项目通过零信任架构整合软件定义网络（SD-WAN）与云访问安全代理（CASB），实现终端到云端的一站式防护，其经验已被DeepSeek-R1吸收并优化为商用方案。</w:t>
      </w:r>
    </w:p>
    <w:p w14:paraId="75BD87B2">
      <w:pPr>
        <w:ind w:left="0" w:leftChars="0" w:firstLine="0" w:firstLineChars="0"/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273040" cy="2069465"/>
            <wp:effectExtent l="0" t="0" r="3810" b="6985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06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7"/>
        <w:tblpPr w:leftFromText="180" w:rightFromText="180" w:vertAnchor="text" w:horzAnchor="page" w:tblpX="1996" w:tblpY="1273"/>
        <w:tblOverlap w:val="never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1E1E20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296"/>
        <w:gridCol w:w="3600"/>
        <w:gridCol w:w="3800"/>
      </w:tblGrid>
      <w:tr w14:paraId="111A6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1E1E20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Header/>
        </w:trPr>
        <w:tc>
          <w:tcPr>
            <w:tcW w:w="1296" w:type="dxa"/>
            <w:tcBorders>
              <w:top w:val="single" w:color="4684D3" w:sz="0" w:space="0"/>
              <w:left w:val="single" w:color="4684D3" w:sz="0" w:space="0"/>
              <w:bottom w:val="single" w:color="DDDDDD" w:sz="0" w:space="0"/>
              <w:right w:val="single" w:color="DDDDDD" w:sz="0" w:space="0"/>
            </w:tcBorders>
            <w:shd w:val="clear" w:color="auto" w:fill="4684D3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49B5E4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  <w:t>维度</w:t>
            </w:r>
          </w:p>
        </w:tc>
        <w:tc>
          <w:tcPr>
            <w:tcW w:w="3600" w:type="dxa"/>
            <w:tcBorders>
              <w:top w:val="single" w:color="4684D3" w:sz="0" w:space="0"/>
              <w:left w:val="single" w:color="DDDDDD" w:sz="0" w:space="0"/>
              <w:bottom w:val="single" w:color="DDDDDD" w:sz="0" w:space="0"/>
              <w:right w:val="single" w:color="DDDDDD" w:sz="0" w:space="0"/>
            </w:tcBorders>
            <w:shd w:val="clear" w:color="auto" w:fill="4684D3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482DA5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  <w:t>举措</w:t>
            </w:r>
          </w:p>
        </w:tc>
        <w:tc>
          <w:tcPr>
            <w:tcW w:w="3800" w:type="dxa"/>
            <w:tcBorders>
              <w:top w:val="single" w:color="4684D3" w:sz="0" w:space="0"/>
              <w:left w:val="single" w:color="DDDDDD" w:sz="0" w:space="0"/>
              <w:bottom w:val="single" w:color="DDDDDD" w:sz="0" w:space="0"/>
              <w:right w:val="single" w:color="4684D3" w:sz="0" w:space="0"/>
            </w:tcBorders>
            <w:shd w:val="clear" w:color="auto" w:fill="4684D3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57A6F6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lang w:val="en-US" w:eastAsia="zh-CN"/>
              </w:rPr>
              <w:t>案例</w:t>
            </w:r>
          </w:p>
        </w:tc>
      </w:tr>
      <w:tr w14:paraId="5C4D1B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6" w:type="dxa"/>
            <w:tcBorders>
              <w:top w:val="single" w:color="DDDDDD" w:sz="4" w:space="0"/>
              <w:left w:val="single" w:color="4684D3" w:sz="0" w:space="0"/>
              <w:bottom w:val="single" w:color="DDDDDD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4B8ACB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硬件层</w:t>
            </w:r>
          </w:p>
        </w:tc>
        <w:tc>
          <w:tcPr>
            <w:tcW w:w="3600" w:type="dxa"/>
            <w:tcBorders>
              <w:top w:val="single" w:color="DDDDDD" w:sz="4" w:space="0"/>
              <w:left w:val="single" w:color="DDDDDD" w:sz="0" w:space="0"/>
              <w:bottom w:val="single" w:color="DDDDDD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0A1BD6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国产芯片适配与冗余设计</w:t>
            </w:r>
          </w:p>
        </w:tc>
        <w:tc>
          <w:tcPr>
            <w:tcW w:w="3800" w:type="dxa"/>
            <w:tcBorders>
              <w:top w:val="single" w:color="DDDDDD" w:sz="4" w:space="0"/>
              <w:left w:val="single" w:color="DDDDDD" w:sz="0" w:space="0"/>
              <w:bottom w:val="single" w:color="DDDDDD" w:sz="0" w:space="0"/>
              <w:right w:val="single" w:color="4684D3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6557FC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支持多节点容灾</w:t>
            </w:r>
          </w:p>
        </w:tc>
      </w:tr>
      <w:tr w14:paraId="18479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6" w:type="dxa"/>
            <w:tcBorders>
              <w:top w:val="single" w:color="DDDDDD" w:sz="4" w:space="0"/>
              <w:left w:val="single" w:color="4684D3" w:sz="0" w:space="0"/>
              <w:bottom w:val="single" w:color="DDDDDD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02C787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数据层</w:t>
            </w:r>
          </w:p>
        </w:tc>
        <w:tc>
          <w:tcPr>
            <w:tcW w:w="3600" w:type="dxa"/>
            <w:tcBorders>
              <w:top w:val="single" w:color="DDDDDD" w:sz="4" w:space="0"/>
              <w:left w:val="single" w:color="DDDDDD" w:sz="0" w:space="0"/>
              <w:bottom w:val="single" w:color="DDDDDD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2C02E8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强化学习与差分隐私</w:t>
            </w:r>
          </w:p>
        </w:tc>
        <w:tc>
          <w:tcPr>
            <w:tcW w:w="3800" w:type="dxa"/>
            <w:tcBorders>
              <w:top w:val="single" w:color="DDDDDD" w:sz="4" w:space="0"/>
              <w:left w:val="single" w:color="DDDDDD" w:sz="0" w:space="0"/>
              <w:bottom w:val="single" w:color="DDDDDD" w:sz="0" w:space="0"/>
              <w:right w:val="single" w:color="4684D3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75257A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用户数据本地化处理，泄露风险降低</w:t>
            </w:r>
          </w:p>
        </w:tc>
      </w:tr>
      <w:tr w14:paraId="708C41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6" w:type="dxa"/>
            <w:tcBorders>
              <w:top w:val="single" w:color="DDDDDD" w:sz="4" w:space="0"/>
              <w:left w:val="single" w:color="4684D3" w:sz="0" w:space="0"/>
              <w:bottom w:val="single" w:color="DDDDDD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60F93C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协议层</w:t>
            </w:r>
          </w:p>
        </w:tc>
        <w:tc>
          <w:tcPr>
            <w:tcW w:w="3600" w:type="dxa"/>
            <w:tcBorders>
              <w:top w:val="single" w:color="DDDDDD" w:sz="4" w:space="0"/>
              <w:left w:val="single" w:color="DDDDDD" w:sz="0" w:space="0"/>
              <w:bottom w:val="single" w:color="DDDDDD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0B7AA5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区块链存证与智能合约</w:t>
            </w:r>
          </w:p>
        </w:tc>
        <w:tc>
          <w:tcPr>
            <w:tcW w:w="3800" w:type="dxa"/>
            <w:tcBorders>
              <w:top w:val="single" w:color="DDDDDD" w:sz="4" w:space="0"/>
              <w:left w:val="single" w:color="DDDDDD" w:sz="0" w:space="0"/>
              <w:bottom w:val="single" w:color="DDDDDD" w:sz="0" w:space="0"/>
              <w:right w:val="single" w:color="4684D3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484282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提升攻击溯源效率</w:t>
            </w:r>
          </w:p>
        </w:tc>
      </w:tr>
      <w:tr w14:paraId="4B3A3F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6" w:type="dxa"/>
            <w:tcBorders>
              <w:top w:val="single" w:color="DDDDDD" w:sz="4" w:space="0"/>
              <w:left w:val="single" w:color="4684D3" w:sz="0" w:space="0"/>
              <w:bottom w:val="single" w:color="4684D3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230BDF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治理层</w:t>
            </w:r>
          </w:p>
        </w:tc>
        <w:tc>
          <w:tcPr>
            <w:tcW w:w="3600" w:type="dxa"/>
            <w:tcBorders>
              <w:top w:val="single" w:color="DDDDDD" w:sz="4" w:space="0"/>
              <w:left w:val="single" w:color="DDDDDD" w:sz="0" w:space="0"/>
              <w:bottom w:val="single" w:color="4684D3" w:sz="0" w:space="0"/>
              <w:right w:val="single" w:color="DDDDDD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72FCFF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跨境司法协作与漏洞赏金</w:t>
            </w:r>
          </w:p>
        </w:tc>
        <w:tc>
          <w:tcPr>
            <w:tcW w:w="3800" w:type="dxa"/>
            <w:tcBorders>
              <w:top w:val="single" w:color="DDDDDD" w:sz="4" w:space="0"/>
              <w:left w:val="single" w:color="DDDDDD" w:sz="0" w:space="0"/>
              <w:bottom w:val="single" w:color="4684D3" w:sz="0" w:space="0"/>
              <w:right w:val="single" w:color="4684D3" w:sz="0" w:space="0"/>
            </w:tcBorders>
            <w:shd w:val="clear" w:color="auto" w:fill="FFFFFF"/>
            <w:tcMar>
              <w:top w:w="90" w:type="dxa"/>
              <w:left w:w="195" w:type="dxa"/>
              <w:bottom w:w="90" w:type="dxa"/>
              <w:right w:w="195" w:type="dxa"/>
            </w:tcMar>
            <w:vAlign w:val="center"/>
          </w:tcPr>
          <w:p w14:paraId="021D68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联合白客团队捕获HailBot控制节点</w:t>
            </w:r>
          </w:p>
        </w:tc>
      </w:tr>
    </w:tbl>
    <w:p w14:paraId="243DFCF8">
      <w:pPr>
        <w:pStyle w:val="4"/>
        <w:bidi w:val="0"/>
        <w:rPr>
          <w:rFonts w:hint="eastAsia"/>
        </w:rPr>
      </w:pPr>
      <w:r>
        <w:rPr>
          <w:rFonts w:hint="eastAsia"/>
          <w:lang w:val="en-US" w:eastAsia="zh-CN"/>
        </w:rPr>
        <w:t>4.</w:t>
      </w:r>
      <w:r>
        <w:rPr>
          <w:rFonts w:hint="eastAsia"/>
        </w:rPr>
        <w:t>2 生态联防</w:t>
      </w:r>
    </w:p>
    <w:p w14:paraId="445F4C8F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13" w:lineRule="auto"/>
        <w:ind w:firstLine="643" w:firstLineChars="200"/>
        <w:textAlignment w:val="auto"/>
        <w:rPr>
          <w:rFonts w:hint="eastAsia" w:ascii="Times New Roman" w:hAnsi="Times New Roman" w:eastAsia="仿宋_GB2312" w:cs="Times New Roman"/>
          <w:b/>
          <w:bCs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/>
          <w:bCs/>
          <w:color w:val="000000"/>
          <w:kern w:val="2"/>
          <w:sz w:val="32"/>
          <w:szCs w:val="32"/>
          <w:lang w:val="en-US" w:eastAsia="zh-CN" w:bidi="ar-SA"/>
        </w:rPr>
        <w:t>结语：AI冷战与人类技术共同体的悖论</w:t>
      </w:r>
    </w:p>
    <w:p w14:paraId="21ECDED0">
      <w:pP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DeepSeek的遭遇折射出AI技术的地缘政治属性愈发显著。若中美博弈持续升级，可能形成“AI两大阵营”。唯有构建“人类技术共同体”，才能避免滑向数字铁幕。中国若能在自主创新与生态协作中找到平衡点，或将为全球AI治理提供第三种路径——一条超越冷战思维、通向技术共生的新道路。</w:t>
      </w:r>
    </w:p>
    <w:p w14:paraId="534940E4">
      <w:pPr>
        <w:pStyle w:val="3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参考链接：</w:t>
      </w:r>
    </w:p>
    <w:p w14:paraId="388BE7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fldChar w:fldCharType="begin"/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instrText xml:space="preserve"> HYPERLINK "https://arxiv.org/html/2412.19437v1" </w:instrTex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fldChar w:fldCharType="separate"/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https://arxiv.org/html/2412.19437v1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fldChar w:fldCharType="end"/>
      </w:r>
    </w:p>
    <w:p w14:paraId="224ED5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fldChar w:fldCharType="begin"/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instrText xml:space="preserve"> HYPERLINK "https://blog.csdn.net/jrckkyy/article/details/145394566" </w:instrTex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fldChar w:fldCharType="separate"/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https://blog.csdn.net/jrckkyy/article/details/145394566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fldChar w:fldCharType="end"/>
      </w:r>
    </w:p>
    <w:p w14:paraId="3DFDBD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fldChar w:fldCharType="begin"/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instrText xml:space="preserve"> HYPERLINK "https://xueqiu.com/2211026279/322038022" </w:instrTex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fldChar w:fldCharType="separate"/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https://xueqiu.com/2211026279/322038022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fldChar w:fldCharType="end"/>
      </w:r>
    </w:p>
    <w:p w14:paraId="1CD27D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https://news.qq.com/rain/a/20250129A03NQY00</w:t>
      </w:r>
    </w:p>
    <w:p w14:paraId="057059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https://xueqiu.com/1199938396/321970274</w:t>
      </w:r>
    </w:p>
    <w:p w14:paraId="71271D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https://cloud.tencent.com/developer/article/2492853</w:t>
      </w:r>
    </w:p>
    <w:p w14:paraId="473B09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https://world.huanqiu.com/article/4LMyblXXEMi</w:t>
      </w:r>
    </w:p>
    <w:p w14:paraId="6C2B66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https://www.163.com/tech/article/JJH6BPIP00099BK0.html</w:t>
      </w:r>
    </w:p>
    <w:p w14:paraId="5BF7700F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560"/>
      </w:pPr>
      <w:r>
        <w:separator/>
      </w:r>
    </w:p>
  </w:endnote>
  <w:endnote w:type="continuationSeparator" w:id="1">
    <w:p>
      <w:pPr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560"/>
      </w:pPr>
      <w:r>
        <w:separator/>
      </w:r>
    </w:p>
  </w:footnote>
  <w:footnote w:type="continuationSeparator" w:id="1">
    <w:p>
      <w:pPr>
        <w:ind w:firstLine="56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E1NGZkNWM0ZDgyNmRkMDZmMWQzN2NmZDg5ODIzNjUifQ=="/>
  </w:docVars>
  <w:rsids>
    <w:rsidRoot w:val="5D8C5D22"/>
    <w:rsid w:val="00384B9C"/>
    <w:rsid w:val="019957FB"/>
    <w:rsid w:val="05B42F17"/>
    <w:rsid w:val="069F2544"/>
    <w:rsid w:val="07C338E5"/>
    <w:rsid w:val="081721AA"/>
    <w:rsid w:val="081C4DA3"/>
    <w:rsid w:val="0AF71943"/>
    <w:rsid w:val="0CC80515"/>
    <w:rsid w:val="0CDB2458"/>
    <w:rsid w:val="0D9378B6"/>
    <w:rsid w:val="0F2731F8"/>
    <w:rsid w:val="125F245C"/>
    <w:rsid w:val="138959E3"/>
    <w:rsid w:val="14691370"/>
    <w:rsid w:val="152864CC"/>
    <w:rsid w:val="18A05273"/>
    <w:rsid w:val="1A97411E"/>
    <w:rsid w:val="1A9B5FFB"/>
    <w:rsid w:val="1B2606DC"/>
    <w:rsid w:val="1BB630ED"/>
    <w:rsid w:val="1C7B54D2"/>
    <w:rsid w:val="1C930EB9"/>
    <w:rsid w:val="1C9F0025"/>
    <w:rsid w:val="1D5A219E"/>
    <w:rsid w:val="1DCA2E80"/>
    <w:rsid w:val="1EBE4E7B"/>
    <w:rsid w:val="226D4721"/>
    <w:rsid w:val="23745AEB"/>
    <w:rsid w:val="23FF22F1"/>
    <w:rsid w:val="24F639D3"/>
    <w:rsid w:val="262F4B27"/>
    <w:rsid w:val="29E6402D"/>
    <w:rsid w:val="2B033E75"/>
    <w:rsid w:val="2B4A3852"/>
    <w:rsid w:val="2CE5579C"/>
    <w:rsid w:val="2DA90D03"/>
    <w:rsid w:val="2F0F2DE8"/>
    <w:rsid w:val="2F56235F"/>
    <w:rsid w:val="2FA004F7"/>
    <w:rsid w:val="30285DC6"/>
    <w:rsid w:val="32851B1A"/>
    <w:rsid w:val="34545741"/>
    <w:rsid w:val="350D15E3"/>
    <w:rsid w:val="351F7AFD"/>
    <w:rsid w:val="353632F5"/>
    <w:rsid w:val="36971AA0"/>
    <w:rsid w:val="37256F21"/>
    <w:rsid w:val="37A367C3"/>
    <w:rsid w:val="3EB72B54"/>
    <w:rsid w:val="3F446ADE"/>
    <w:rsid w:val="4084115C"/>
    <w:rsid w:val="40D6173F"/>
    <w:rsid w:val="40F57964"/>
    <w:rsid w:val="42081002"/>
    <w:rsid w:val="43B41D58"/>
    <w:rsid w:val="47D473AF"/>
    <w:rsid w:val="4C730C63"/>
    <w:rsid w:val="4E2D0C6E"/>
    <w:rsid w:val="509C58BA"/>
    <w:rsid w:val="51782617"/>
    <w:rsid w:val="523E1F05"/>
    <w:rsid w:val="536015B5"/>
    <w:rsid w:val="56B45E9F"/>
    <w:rsid w:val="5780017C"/>
    <w:rsid w:val="57F4510A"/>
    <w:rsid w:val="58BB7B9D"/>
    <w:rsid w:val="5A186745"/>
    <w:rsid w:val="5A2450EA"/>
    <w:rsid w:val="5AAD4E6A"/>
    <w:rsid w:val="5B0B2327"/>
    <w:rsid w:val="5C8B72C7"/>
    <w:rsid w:val="5D8C5D22"/>
    <w:rsid w:val="5DAD73D7"/>
    <w:rsid w:val="5E745F14"/>
    <w:rsid w:val="5ECE1AC8"/>
    <w:rsid w:val="5F024DA9"/>
    <w:rsid w:val="626F35C2"/>
    <w:rsid w:val="63B7167F"/>
    <w:rsid w:val="66707909"/>
    <w:rsid w:val="67B80600"/>
    <w:rsid w:val="67C75407"/>
    <w:rsid w:val="6AF757D9"/>
    <w:rsid w:val="6E4F6056"/>
    <w:rsid w:val="6EE844E0"/>
    <w:rsid w:val="6F2319BD"/>
    <w:rsid w:val="6F6B6EC0"/>
    <w:rsid w:val="6F6C7FEF"/>
    <w:rsid w:val="6F6F075E"/>
    <w:rsid w:val="705C0BE1"/>
    <w:rsid w:val="70853FB1"/>
    <w:rsid w:val="72B62B48"/>
    <w:rsid w:val="74455F31"/>
    <w:rsid w:val="745030E5"/>
    <w:rsid w:val="74624D35"/>
    <w:rsid w:val="74DC4AE7"/>
    <w:rsid w:val="77E029D6"/>
    <w:rsid w:val="783F7971"/>
    <w:rsid w:val="785B3F75"/>
    <w:rsid w:val="789B1E6A"/>
    <w:rsid w:val="79D77D74"/>
    <w:rsid w:val="7B445194"/>
    <w:rsid w:val="7B7315D6"/>
    <w:rsid w:val="7BF070CA"/>
    <w:rsid w:val="7D0A7D18"/>
    <w:rsid w:val="7E1621A7"/>
    <w:rsid w:val="7F714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883" w:firstLineChars="200"/>
      <w:jc w:val="both"/>
    </w:pPr>
    <w:rPr>
      <w:rFonts w:asciiTheme="minorAscii" w:hAnsiTheme="minorAscii" w:eastAsiaTheme="minorEastAsia" w:cstheme="minorBidi"/>
      <w:kern w:val="2"/>
      <w:sz w:val="28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ind w:firstLine="0" w:firstLineChars="0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120" w:beforeLines="0" w:beforeAutospacing="0" w:after="120" w:afterLines="0" w:afterAutospacing="0" w:line="413" w:lineRule="auto"/>
      <w:ind w:firstLine="0" w:firstLineChars="0"/>
      <w:outlineLvl w:val="1"/>
    </w:pPr>
    <w:rPr>
      <w:rFonts w:ascii="Arial" w:hAnsi="Arial" w:eastAsia="宋体"/>
      <w:b/>
      <w:sz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120" w:beforeLines="0" w:beforeAutospacing="0" w:after="120" w:afterLines="0" w:afterAutospacing="0" w:line="413" w:lineRule="auto"/>
      <w:outlineLvl w:val="2"/>
    </w:pPr>
    <w:rPr>
      <w:rFonts w:eastAsia="宋体"/>
      <w:b/>
      <w:sz w:val="32"/>
    </w:rPr>
  </w:style>
  <w:style w:type="paragraph" w:styleId="5">
    <w:name w:val="heading 4"/>
    <w:basedOn w:val="1"/>
    <w:next w:val="1"/>
    <w:unhideWhenUsed/>
    <w:qFormat/>
    <w:uiPriority w:val="0"/>
    <w:pPr>
      <w:keepNext/>
      <w:keepLines/>
      <w:spacing w:before="120" w:beforeLines="0" w:beforeAutospacing="0" w:after="120" w:afterLines="0" w:afterAutospacing="0" w:line="372" w:lineRule="auto"/>
      <w:outlineLvl w:val="3"/>
    </w:pPr>
    <w:rPr>
      <w:rFonts w:ascii="Arial" w:hAnsi="Arial" w:eastAsia="宋体"/>
      <w:b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Hyperlink"/>
    <w:basedOn w:val="9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1964</Words>
  <Characters>2392</Characters>
  <Lines>0</Lines>
  <Paragraphs>0</Paragraphs>
  <TotalTime>11</TotalTime>
  <ScaleCrop>false</ScaleCrop>
  <LinksUpToDate>false</LinksUpToDate>
  <CharactersWithSpaces>2421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2025-02-11T09:50:00Z</dcterms:created>
  <dc:creator>'</dc:creator>
  <cp:lastModifiedBy>安东冉</cp:lastModifiedBy>
  <dcterms:modified xsi:type="dcterms:W3CDTF">2025-02-14T01:56:23Z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E646A41603AF4969A89AF5389CF8E7C9_13</vt:lpwstr>
  </property>
  <property fmtid="{D5CDD505-2E9C-101B-9397-08002B2CF9AE}" pid="4" name="KSOTemplateDocerSaveRecord">
    <vt:lpwstr>eyJoZGlkIjoiNzJiNDJkNWFkZGVkZGNjZTZlY2RiNzhkZjUxZjY2NGEiLCJ1c2VySWQiOiI2Mjg5Mzg1MTYifQ==</vt:lpwstr>
  </property>
</Properties>
</file>